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696B1" w14:textId="48B24EE3" w:rsidR="00182278" w:rsidRDefault="007A6D70" w:rsidP="00182278">
      <w:pPr>
        <w:jc w:val="center"/>
        <w:rPr>
          <w:sz w:val="44"/>
          <w:szCs w:val="44"/>
        </w:rPr>
      </w:pPr>
      <w:r>
        <w:rPr>
          <w:noProof/>
        </w:rPr>
        <w:drawing>
          <wp:inline distT="0" distB="0" distL="0" distR="0" wp14:anchorId="7B893294" wp14:editId="596648FB">
            <wp:extent cx="3870960" cy="243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4111" t="20089" r="29444" b="23022"/>
                    <a:stretch/>
                  </pic:blipFill>
                  <pic:spPr bwMode="auto">
                    <a:xfrm>
                      <a:off x="0" y="0"/>
                      <a:ext cx="3870960" cy="2438400"/>
                    </a:xfrm>
                    <a:prstGeom prst="rect">
                      <a:avLst/>
                    </a:prstGeom>
                    <a:ln>
                      <a:noFill/>
                    </a:ln>
                    <a:extLst>
                      <a:ext uri="{53640926-AAD7-44D8-BBD7-CCE9431645EC}">
                        <a14:shadowObscured xmlns:a14="http://schemas.microsoft.com/office/drawing/2010/main"/>
                      </a:ext>
                    </a:extLst>
                  </pic:spPr>
                </pic:pic>
              </a:graphicData>
            </a:graphic>
          </wp:inline>
        </w:drawing>
      </w:r>
    </w:p>
    <w:p w14:paraId="03969FAE" w14:textId="77777777" w:rsidR="00197D3B" w:rsidRDefault="00197D3B" w:rsidP="00197D3B">
      <w:pPr>
        <w:jc w:val="center"/>
        <w:rPr>
          <w:sz w:val="44"/>
          <w:szCs w:val="44"/>
        </w:rPr>
      </w:pPr>
      <w:r>
        <w:rPr>
          <w:sz w:val="44"/>
          <w:szCs w:val="44"/>
        </w:rPr>
        <w:t>Ready Start Morehouse</w:t>
      </w:r>
    </w:p>
    <w:p w14:paraId="44788950" w14:textId="27C16CA6" w:rsidR="00197D3B" w:rsidRDefault="00197D3B" w:rsidP="00197D3B">
      <w:pPr>
        <w:jc w:val="center"/>
        <w:rPr>
          <w:sz w:val="44"/>
          <w:szCs w:val="44"/>
        </w:rPr>
      </w:pPr>
      <w:r>
        <w:rPr>
          <w:sz w:val="44"/>
          <w:szCs w:val="44"/>
        </w:rPr>
        <w:t>Blueprint</w:t>
      </w:r>
    </w:p>
    <w:p w14:paraId="4271D7F3" w14:textId="3004F2D5" w:rsidR="00996AAD" w:rsidRDefault="00996AAD" w:rsidP="00197D3B">
      <w:pPr>
        <w:jc w:val="center"/>
        <w:rPr>
          <w:sz w:val="44"/>
          <w:szCs w:val="44"/>
        </w:rPr>
      </w:pPr>
      <w:r>
        <w:rPr>
          <w:sz w:val="44"/>
          <w:szCs w:val="44"/>
        </w:rPr>
        <w:t>[</w:t>
      </w:r>
      <w:r w:rsidR="009139BD">
        <w:rPr>
          <w:sz w:val="44"/>
          <w:szCs w:val="44"/>
        </w:rPr>
        <w:t>11/10</w:t>
      </w:r>
      <w:r>
        <w:rPr>
          <w:sz w:val="44"/>
          <w:szCs w:val="44"/>
        </w:rPr>
        <w:t>/2020]</w:t>
      </w:r>
    </w:p>
    <w:p w14:paraId="444C7E47" w14:textId="030A69DA" w:rsidR="00E964C3" w:rsidRDefault="00E964C3" w:rsidP="00E964C3">
      <w:pPr>
        <w:rPr>
          <w:sz w:val="44"/>
          <w:szCs w:val="44"/>
        </w:rPr>
      </w:pPr>
    </w:p>
    <w:p w14:paraId="418B93A2" w14:textId="22AB739D" w:rsidR="00E964C3" w:rsidRDefault="00E964C3" w:rsidP="00E964C3">
      <w:pPr>
        <w:rPr>
          <w:sz w:val="44"/>
          <w:szCs w:val="44"/>
        </w:rPr>
      </w:pPr>
    </w:p>
    <w:p w14:paraId="267F1CA3" w14:textId="757A6171" w:rsidR="00E964C3" w:rsidRDefault="00E964C3" w:rsidP="00E964C3">
      <w:pPr>
        <w:rPr>
          <w:sz w:val="44"/>
          <w:szCs w:val="44"/>
        </w:rPr>
      </w:pPr>
    </w:p>
    <w:p w14:paraId="72F93026" w14:textId="5CB904A2" w:rsidR="00E964C3" w:rsidRDefault="00E964C3" w:rsidP="00E964C3">
      <w:pPr>
        <w:rPr>
          <w:sz w:val="44"/>
          <w:szCs w:val="44"/>
        </w:rPr>
      </w:pPr>
    </w:p>
    <w:p w14:paraId="40F3AB2B" w14:textId="5EFA752C" w:rsidR="00E964C3" w:rsidRDefault="00E964C3" w:rsidP="00E964C3">
      <w:pPr>
        <w:rPr>
          <w:sz w:val="44"/>
          <w:szCs w:val="44"/>
        </w:rPr>
      </w:pPr>
    </w:p>
    <w:p w14:paraId="496E100C" w14:textId="1E6A67E4" w:rsidR="00E964C3" w:rsidRDefault="00E964C3" w:rsidP="00E964C3">
      <w:pPr>
        <w:rPr>
          <w:sz w:val="44"/>
          <w:szCs w:val="44"/>
        </w:rPr>
      </w:pPr>
    </w:p>
    <w:p w14:paraId="73204CE6" w14:textId="393300CD" w:rsidR="00E964C3" w:rsidRDefault="00E964C3" w:rsidP="00E964C3">
      <w:pPr>
        <w:rPr>
          <w:sz w:val="44"/>
          <w:szCs w:val="44"/>
        </w:rPr>
      </w:pPr>
    </w:p>
    <w:p w14:paraId="74B28C04" w14:textId="00B2639A" w:rsidR="00E964C3" w:rsidRDefault="00E964C3" w:rsidP="00E964C3">
      <w:pPr>
        <w:rPr>
          <w:sz w:val="44"/>
          <w:szCs w:val="44"/>
        </w:rPr>
      </w:pPr>
    </w:p>
    <w:p w14:paraId="56A3BF05" w14:textId="62E405DF" w:rsidR="00E964C3" w:rsidRDefault="00E964C3" w:rsidP="00E964C3">
      <w:pPr>
        <w:rPr>
          <w:sz w:val="44"/>
          <w:szCs w:val="44"/>
        </w:rPr>
      </w:pPr>
    </w:p>
    <w:p w14:paraId="60C22642" w14:textId="77777777" w:rsidR="00E964C3" w:rsidRDefault="00E964C3" w:rsidP="00E964C3">
      <w:pPr>
        <w:rPr>
          <w:sz w:val="44"/>
          <w:szCs w:val="44"/>
        </w:rPr>
      </w:pPr>
    </w:p>
    <w:p w14:paraId="3161B536" w14:textId="0C719576" w:rsidR="003E141F" w:rsidRPr="003E141F" w:rsidRDefault="00E964C3" w:rsidP="003E141F">
      <w:pPr>
        <w:spacing w:after="0" w:line="240" w:lineRule="auto"/>
        <w:jc w:val="center"/>
        <w:rPr>
          <w:rFonts w:cs="Times New Roman"/>
          <w:b/>
          <w:bCs/>
          <w:i/>
          <w:iCs/>
        </w:rPr>
      </w:pPr>
      <w:r w:rsidRPr="00B34487">
        <w:rPr>
          <w:rFonts w:cs="Times New Roman"/>
          <w:b/>
          <w:bCs/>
          <w:i/>
          <w:iCs/>
        </w:rPr>
        <w:lastRenderedPageBreak/>
        <w:t>It’s easier and less expensive to provide access to quality early care and education right from the start. Doing so ensures that our youngest learners have brain building experiences that prepare them for school and lifelong success.</w:t>
      </w:r>
      <w:r>
        <w:rPr>
          <w:rFonts w:cs="Times New Roman"/>
          <w:b/>
          <w:bCs/>
          <w:i/>
          <w:iCs/>
        </w:rPr>
        <w:t xml:space="preserve"> </w:t>
      </w:r>
      <w:r>
        <w:rPr>
          <w:rFonts w:cs="Times New Roman"/>
          <w:bCs/>
          <w:i/>
          <w:iCs/>
          <w:sz w:val="20"/>
          <w:szCs w:val="20"/>
        </w:rPr>
        <w:t>-</w:t>
      </w:r>
      <w:r w:rsidRPr="00B41A9B">
        <w:rPr>
          <w:rFonts w:cs="Times New Roman"/>
          <w:bCs/>
          <w:i/>
          <w:iCs/>
          <w:sz w:val="20"/>
          <w:szCs w:val="20"/>
        </w:rPr>
        <w:t>Amy Clancy</w:t>
      </w:r>
      <w:r>
        <w:rPr>
          <w:rFonts w:cs="Times New Roman"/>
          <w:bCs/>
          <w:i/>
          <w:iCs/>
          <w:sz w:val="20"/>
          <w:szCs w:val="20"/>
        </w:rPr>
        <w:t>,</w:t>
      </w:r>
      <w:r w:rsidRPr="00B41A9B">
        <w:rPr>
          <w:rFonts w:cs="Times New Roman"/>
          <w:bCs/>
          <w:i/>
          <w:iCs/>
          <w:sz w:val="20"/>
          <w:szCs w:val="20"/>
        </w:rPr>
        <w:t xml:space="preserve"> Director of Early Childhood </w:t>
      </w:r>
      <w:r w:rsidRPr="00B41A9B">
        <w:rPr>
          <w:rFonts w:cs="Times New Roman"/>
          <w:i/>
          <w:iCs/>
          <w:sz w:val="20"/>
          <w:szCs w:val="20"/>
        </w:rPr>
        <w:t>Children’s Coalition for Northeast Louisiana</w:t>
      </w:r>
    </w:p>
    <w:p w14:paraId="45B2F80D" w14:textId="77777777" w:rsidR="003E141F" w:rsidRDefault="003E141F" w:rsidP="001B7735">
      <w:pPr>
        <w:rPr>
          <w:b/>
          <w:bCs/>
          <w:sz w:val="32"/>
          <w:szCs w:val="32"/>
        </w:rPr>
      </w:pPr>
    </w:p>
    <w:p w14:paraId="4AEF4088" w14:textId="7C7F9639" w:rsidR="007F0CD0" w:rsidRPr="001B7735" w:rsidRDefault="00182278" w:rsidP="001B7735">
      <w:pPr>
        <w:rPr>
          <w:b/>
          <w:bCs/>
          <w:sz w:val="32"/>
          <w:szCs w:val="32"/>
        </w:rPr>
      </w:pPr>
      <w:r w:rsidRPr="00182278">
        <w:rPr>
          <w:b/>
          <w:bCs/>
          <w:sz w:val="32"/>
          <w:szCs w:val="32"/>
        </w:rPr>
        <w:t>Introduction</w:t>
      </w:r>
    </w:p>
    <w:p w14:paraId="16A935BD" w14:textId="16DB9E34" w:rsidR="00A90D1C" w:rsidRDefault="007F0CD0" w:rsidP="009B479B">
      <w:pPr>
        <w:spacing w:after="0" w:line="240" w:lineRule="auto"/>
      </w:pPr>
      <w:r w:rsidRPr="000901C8">
        <w:t xml:space="preserve">Ready Start Morehouse is a community coalition </w:t>
      </w:r>
      <w:r w:rsidR="00683248">
        <w:t xml:space="preserve">comprised of publicly funded early care and education programs including; childcare, Head Start and school system programs </w:t>
      </w:r>
      <w:r w:rsidR="00613A00" w:rsidRPr="000901C8">
        <w:t xml:space="preserve">committed to </w:t>
      </w:r>
      <w:r w:rsidRPr="000901C8">
        <w:t xml:space="preserve">creating and implementing a bold local vision for early childhood. </w:t>
      </w:r>
      <w:r w:rsidR="001C5F07" w:rsidRPr="000901C8">
        <w:t>We are d</w:t>
      </w:r>
      <w:r w:rsidRPr="000901C8">
        <w:t>riven by the unique need</w:t>
      </w:r>
      <w:r w:rsidR="00F93E20" w:rsidRPr="000901C8">
        <w:t>s of the community</w:t>
      </w:r>
      <w:r w:rsidRPr="000901C8">
        <w:t xml:space="preserve"> to improve access to</w:t>
      </w:r>
      <w:r w:rsidR="00F93E20" w:rsidRPr="000901C8">
        <w:t xml:space="preserve"> quality</w:t>
      </w:r>
      <w:r w:rsidRPr="000901C8">
        <w:t xml:space="preserve"> early care and education</w:t>
      </w:r>
      <w:r w:rsidR="001C5F07" w:rsidRPr="000901C8">
        <w:t xml:space="preserve"> for our communities’ youngest learners</w:t>
      </w:r>
      <w:r w:rsidR="00F93E20" w:rsidRPr="000901C8">
        <w:t xml:space="preserve">. The future of Morehouse </w:t>
      </w:r>
      <w:r w:rsidR="001B7735" w:rsidRPr="000901C8">
        <w:t>P</w:t>
      </w:r>
      <w:r w:rsidR="00F93E20" w:rsidRPr="000901C8">
        <w:t>arish is dependent o</w:t>
      </w:r>
      <w:r w:rsidR="00613A00" w:rsidRPr="000901C8">
        <w:t xml:space="preserve">n </w:t>
      </w:r>
      <w:r w:rsidR="00F93E20" w:rsidRPr="000901C8">
        <w:t>the success of its children</w:t>
      </w:r>
      <w:r w:rsidR="001B7735" w:rsidRPr="000901C8">
        <w:t>. T</w:t>
      </w:r>
      <w:r w:rsidR="00F93E20" w:rsidRPr="000901C8">
        <w:t>ogether we have an opportunity to transform the future of our parish in one generation. As a community we have a shared responsibility to support the workforce of today while preparing the workforce of tomorrow.</w:t>
      </w:r>
      <w:r w:rsidR="00F93E20" w:rsidRPr="001B7735">
        <w:t xml:space="preserve"> </w:t>
      </w:r>
    </w:p>
    <w:p w14:paraId="1FCA6FDF" w14:textId="3432906F" w:rsidR="007E3007" w:rsidRDefault="007E3007" w:rsidP="009B479B">
      <w:pPr>
        <w:spacing w:after="0" w:line="240" w:lineRule="auto"/>
      </w:pPr>
    </w:p>
    <w:p w14:paraId="12DBC4AC" w14:textId="0D9076E2" w:rsidR="007E3007" w:rsidRDefault="007E3007" w:rsidP="009B479B">
      <w:pPr>
        <w:spacing w:after="0" w:line="240" w:lineRule="auto"/>
      </w:pPr>
      <w:r w:rsidRPr="001B7735">
        <w:t xml:space="preserve">According to the Early Childhood Risk and Reach </w:t>
      </w:r>
      <w:r w:rsidR="0072052E">
        <w:t xml:space="preserve">Winter </w:t>
      </w:r>
      <w:r w:rsidR="0072052E" w:rsidRPr="001B7735">
        <w:t>2016</w:t>
      </w:r>
      <w:r w:rsidR="0072052E">
        <w:t xml:space="preserve">; </w:t>
      </w:r>
      <w:r w:rsidRPr="001B7735">
        <w:t>32% of children</w:t>
      </w:r>
      <w:r>
        <w:t xml:space="preserve"> in</w:t>
      </w:r>
      <w:r w:rsidRPr="001B7735">
        <w:t xml:space="preserve"> </w:t>
      </w:r>
      <w:r>
        <w:t xml:space="preserve">Morehouse parish </w:t>
      </w:r>
      <w:r w:rsidRPr="001B7735">
        <w:t xml:space="preserve">entering Kindergarten </w:t>
      </w:r>
      <w:r>
        <w:t xml:space="preserve">in </w:t>
      </w:r>
      <w:r w:rsidRPr="001B7735">
        <w:t xml:space="preserve">in Fall 2015 scored </w:t>
      </w:r>
      <w:r w:rsidRPr="001B7735">
        <w:rPr>
          <w:i/>
          <w:iCs/>
        </w:rPr>
        <w:t>Intensive Intervention</w:t>
      </w:r>
      <w:r w:rsidRPr="001B7735">
        <w:t xml:space="preserve"> on the DIBELS</w:t>
      </w:r>
      <w:r>
        <w:t xml:space="preserve"> which is a pre-literacy assessment used to determine risk for literacy outcomes. Too many children in our community are arriving to school with out the readiness skills they need to be successful. </w:t>
      </w:r>
      <w:r w:rsidR="008B3503">
        <w:t xml:space="preserve">By </w:t>
      </w:r>
      <w:r>
        <w:t>increasing access to</w:t>
      </w:r>
      <w:r w:rsidR="008B3503">
        <w:t xml:space="preserve"> </w:t>
      </w:r>
      <w:r>
        <w:t xml:space="preserve">quality </w:t>
      </w:r>
      <w:r w:rsidR="008B3503">
        <w:t>early care and education</w:t>
      </w:r>
      <w:r>
        <w:t xml:space="preserve"> we can ensure that more children arrive to school ready to start. </w:t>
      </w:r>
    </w:p>
    <w:p w14:paraId="179037AD" w14:textId="77777777" w:rsidR="008B3503" w:rsidRDefault="008B3503" w:rsidP="009B479B">
      <w:pPr>
        <w:spacing w:after="0" w:line="240" w:lineRule="auto"/>
      </w:pPr>
    </w:p>
    <w:p w14:paraId="68B783D3" w14:textId="627A22AD" w:rsidR="00470067" w:rsidRDefault="00470067" w:rsidP="00470067">
      <w:pPr>
        <w:spacing w:after="0" w:line="240" w:lineRule="auto"/>
      </w:pPr>
      <w:r w:rsidRPr="000901C8">
        <w:t xml:space="preserve">Research on early brain development indicates that 90% of brain development occurs by age four. That means that if we are waiting to provide quality early care and education until age four when most children arrive to preschool, we have missed out on the most critical period of human development. </w:t>
      </w:r>
    </w:p>
    <w:p w14:paraId="029137B2" w14:textId="77777777" w:rsidR="00E964C3" w:rsidRDefault="00E964C3" w:rsidP="00470067">
      <w:pPr>
        <w:spacing w:after="0" w:line="240" w:lineRule="auto"/>
      </w:pPr>
    </w:p>
    <w:p w14:paraId="35D81546" w14:textId="77777777" w:rsidR="00E964C3" w:rsidRDefault="00E964C3" w:rsidP="00E964C3">
      <w:pPr>
        <w:jc w:val="center"/>
      </w:pPr>
      <w:r w:rsidRPr="00E964C3">
        <w:rPr>
          <w:b/>
          <w:bCs/>
          <w:i/>
          <w:iCs/>
        </w:rPr>
        <w:t>In order for young children and their families to reach their greatest potential, they must have knowledge of and access to quality cross-sector resources.  The community can make the biggest impact by working together to create an equitable system to address ALL needs of ALL children.  Parents, educators, health care providers, and community resources should strive to create a shared vision and approach to work as an innovative, collaborative, and cohesive unit to elevate services for all children.   These efforts combined with policy and funding movement will advance the needle toward improved outcomes for young children in Morehouse parish.</w:t>
      </w:r>
    </w:p>
    <w:p w14:paraId="3C24903A" w14:textId="181249E9" w:rsidR="00470067" w:rsidRPr="00E964C3" w:rsidRDefault="00E964C3" w:rsidP="00E964C3">
      <w:pPr>
        <w:jc w:val="center"/>
        <w:rPr>
          <w:b/>
          <w:bCs/>
          <w:i/>
          <w:iCs/>
        </w:rPr>
      </w:pPr>
      <w:r w:rsidRPr="00E964C3">
        <w:rPr>
          <w:rFonts w:cs="Times New Roman"/>
          <w:i/>
          <w:iCs/>
        </w:rPr>
        <w:t>-Julie Emory, ECCS Director Children’s Coalition for Northeast Louisiana</w:t>
      </w:r>
    </w:p>
    <w:p w14:paraId="47D36AD2" w14:textId="4134E398" w:rsidR="00443A6E" w:rsidRPr="000901C8" w:rsidRDefault="001C5F07" w:rsidP="009B479B">
      <w:pPr>
        <w:spacing w:after="0" w:line="240" w:lineRule="auto"/>
      </w:pPr>
      <w:r w:rsidRPr="000901C8">
        <w:t xml:space="preserve">Morehouse parish </w:t>
      </w:r>
      <w:r w:rsidR="00284B62" w:rsidRPr="000901C8">
        <w:t>has critical gaps in access to quality early care and education for our communities’ youngest learners. In 2018-2019 o</w:t>
      </w:r>
      <w:r w:rsidRPr="000901C8">
        <w:t xml:space="preserve">nly </w:t>
      </w:r>
      <w:r w:rsidR="00284B62" w:rsidRPr="000901C8">
        <w:t xml:space="preserve">16% of Infant and Toddlers had access to quality </w:t>
      </w:r>
      <w:r w:rsidR="006A4F19" w:rsidRPr="000901C8">
        <w:t>early care and education program</w:t>
      </w:r>
      <w:r w:rsidR="00284B62" w:rsidRPr="000901C8">
        <w:t xml:space="preserve">s. Investing in Infants and Toddlers is key to the success of our community today and tomorrow. </w:t>
      </w:r>
      <w:r w:rsidR="00443A6E">
        <w:br/>
      </w:r>
    </w:p>
    <w:p w14:paraId="68009543" w14:textId="77777777" w:rsidR="00E964C3" w:rsidRDefault="006F52EF" w:rsidP="00E964C3">
      <w:pPr>
        <w:spacing w:after="0" w:line="240" w:lineRule="auto"/>
        <w:rPr>
          <w:b/>
          <w:bCs/>
          <w:i/>
          <w:iCs/>
        </w:rPr>
      </w:pPr>
      <w:r>
        <w:rPr>
          <w:i/>
          <w:iCs/>
          <w:noProof/>
        </w:rPr>
        <w:lastRenderedPageBreak/>
        <mc:AlternateContent>
          <mc:Choice Requires="wps">
            <w:drawing>
              <wp:anchor distT="0" distB="0" distL="114300" distR="114300" simplePos="0" relativeHeight="251659264" behindDoc="0" locked="0" layoutInCell="1" allowOverlap="1" wp14:anchorId="1D07AF0C" wp14:editId="2D3AAED4">
                <wp:simplePos x="0" y="0"/>
                <wp:positionH relativeFrom="column">
                  <wp:posOffset>2895600</wp:posOffset>
                </wp:positionH>
                <wp:positionV relativeFrom="paragraph">
                  <wp:posOffset>819785</wp:posOffset>
                </wp:positionV>
                <wp:extent cx="2714625" cy="126682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2714625" cy="1266825"/>
                        </a:xfrm>
                        <a:prstGeom prst="roundRect">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06E2A5" w14:textId="77777777" w:rsidR="006F52EF" w:rsidRPr="00942E7C" w:rsidRDefault="006F52EF" w:rsidP="006F52EF">
                            <w:pPr>
                              <w:jc w:val="center"/>
                              <w:rPr>
                                <w:b/>
                                <w:iCs/>
                                <w:sz w:val="40"/>
                                <w:szCs w:val="40"/>
                              </w:rPr>
                            </w:pPr>
                            <w:r w:rsidRPr="00942E7C">
                              <w:rPr>
                                <w:b/>
                                <w:iCs/>
                                <w:sz w:val="40"/>
                                <w:szCs w:val="40"/>
                              </w:rPr>
                              <w:t>Critical Access Gaps for Infant</w:t>
                            </w:r>
                            <w:r>
                              <w:rPr>
                                <w:b/>
                                <w:iCs/>
                                <w:sz w:val="40"/>
                                <w:szCs w:val="40"/>
                              </w:rPr>
                              <w:t>s</w:t>
                            </w:r>
                            <w:r w:rsidRPr="00942E7C">
                              <w:rPr>
                                <w:b/>
                                <w:iCs/>
                                <w:sz w:val="40"/>
                                <w:szCs w:val="40"/>
                              </w:rPr>
                              <w:t xml:space="preserve"> &amp;</w:t>
                            </w:r>
                            <w:r>
                              <w:rPr>
                                <w:b/>
                                <w:iCs/>
                                <w:sz w:val="40"/>
                                <w:szCs w:val="40"/>
                              </w:rPr>
                              <w:t xml:space="preserve"> Toddlers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07AF0C" id="Rounded Rectangle 5" o:spid="_x0000_s1026" style="position:absolute;margin-left:228pt;margin-top:64.55pt;width:213.7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" fillcolor="#9cc2e5 [1940]" strokecolor="#9cc2e5 [1940]" strokeweight="1pt">
                <v:stroke joinstyle="miter"/>
                <v:textbox>
                  <w:txbxContent>
                    <w:p w14:paraId="5106E2A5" w14:textId="77777777" w:rsidR="006F52EF" w:rsidRPr="00942E7C" w:rsidRDefault="006F52EF" w:rsidP="006F52EF">
                      <w:pPr>
                        <w:jc w:val="center"/>
                        <w:rPr>
                          <w:b/>
                          <w:iCs/>
                          <w:sz w:val="40"/>
                          <w:szCs w:val="40"/>
                        </w:rPr>
                      </w:pPr>
                      <w:r w:rsidRPr="00942E7C">
                        <w:rPr>
                          <w:b/>
                          <w:iCs/>
                          <w:sz w:val="40"/>
                          <w:szCs w:val="40"/>
                        </w:rPr>
                        <w:t>Critical Access Gaps for Infant</w:t>
                      </w:r>
                      <w:r>
                        <w:rPr>
                          <w:b/>
                          <w:iCs/>
                          <w:sz w:val="40"/>
                          <w:szCs w:val="40"/>
                        </w:rPr>
                        <w:t>s</w:t>
                      </w:r>
                      <w:r w:rsidRPr="00942E7C">
                        <w:rPr>
                          <w:b/>
                          <w:iCs/>
                          <w:sz w:val="40"/>
                          <w:szCs w:val="40"/>
                        </w:rPr>
                        <w:t xml:space="preserve"> &amp;</w:t>
                      </w:r>
                      <w:r>
                        <w:rPr>
                          <w:b/>
                          <w:iCs/>
                          <w:sz w:val="40"/>
                          <w:szCs w:val="40"/>
                        </w:rPr>
                        <w:t xml:space="preserve"> Toddlers</w:t>
                      </w:r>
                    </w:p>
                  </w:txbxContent>
                </v:textbox>
              </v:roundrect>
            </w:pict>
          </mc:Fallback>
        </mc:AlternateContent>
      </w:r>
      <w:r w:rsidR="00443A6E">
        <w:rPr>
          <w:i/>
          <w:iCs/>
          <w:noProof/>
        </w:rPr>
        <w:drawing>
          <wp:inline distT="0" distB="0" distL="0" distR="0" wp14:anchorId="4BAF0036" wp14:editId="1C996A2D">
            <wp:extent cx="5943600" cy="296227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3F43F29" w14:textId="77777777" w:rsidR="003E141F" w:rsidRDefault="003E141F" w:rsidP="00E964C3">
      <w:pPr>
        <w:spacing w:after="0" w:line="240" w:lineRule="auto"/>
        <w:rPr>
          <w:b/>
          <w:bCs/>
          <w:sz w:val="32"/>
          <w:szCs w:val="32"/>
        </w:rPr>
      </w:pPr>
    </w:p>
    <w:p w14:paraId="2CF56A0B" w14:textId="77777777" w:rsidR="003E141F" w:rsidRDefault="003E141F" w:rsidP="00E964C3">
      <w:pPr>
        <w:spacing w:after="0" w:line="240" w:lineRule="auto"/>
        <w:rPr>
          <w:b/>
          <w:bCs/>
          <w:sz w:val="32"/>
          <w:szCs w:val="32"/>
        </w:rPr>
      </w:pPr>
    </w:p>
    <w:p w14:paraId="0B0B9230" w14:textId="5DF20548" w:rsidR="00182278" w:rsidRPr="00E964C3" w:rsidRDefault="00182278" w:rsidP="00E964C3">
      <w:pPr>
        <w:spacing w:after="0" w:line="240" w:lineRule="auto"/>
        <w:rPr>
          <w:b/>
          <w:bCs/>
          <w:i/>
          <w:iCs/>
        </w:rPr>
      </w:pPr>
      <w:r w:rsidRPr="00182278">
        <w:rPr>
          <w:b/>
          <w:bCs/>
          <w:sz w:val="32"/>
          <w:szCs w:val="32"/>
        </w:rPr>
        <w:t>Guiding Statements</w:t>
      </w:r>
    </w:p>
    <w:p w14:paraId="553FFA86" w14:textId="4AA7408C" w:rsidR="00292FA8" w:rsidRPr="000901C8" w:rsidRDefault="00182278" w:rsidP="00292FA8">
      <w:pPr>
        <w:spacing w:after="0" w:line="240" w:lineRule="auto"/>
        <w:rPr>
          <w:rFonts w:eastAsia="Times New Roman"/>
        </w:rPr>
      </w:pPr>
      <w:r w:rsidRPr="000901C8">
        <w:t xml:space="preserve">Vision: </w:t>
      </w:r>
      <w:r w:rsidR="00292FA8" w:rsidRPr="000901C8">
        <w:rPr>
          <w:rFonts w:eastAsia="Times New Roman"/>
        </w:rPr>
        <w:t xml:space="preserve">Greater potential for our youngest learners. </w:t>
      </w:r>
      <w:r w:rsidR="0035672E" w:rsidRPr="000901C8">
        <w:rPr>
          <w:rFonts w:eastAsia="Times New Roman"/>
        </w:rPr>
        <w:t>Or More Opportunities Reaching Early Learners</w:t>
      </w:r>
    </w:p>
    <w:p w14:paraId="4590ABDD" w14:textId="77777777" w:rsidR="00292FA8" w:rsidRPr="000901C8" w:rsidRDefault="00292FA8" w:rsidP="009B479B">
      <w:pPr>
        <w:spacing w:after="0" w:line="240" w:lineRule="auto"/>
      </w:pPr>
    </w:p>
    <w:p w14:paraId="4562D520" w14:textId="07A3544A" w:rsidR="006D58AF" w:rsidRDefault="00182278" w:rsidP="00831BE1">
      <w:pPr>
        <w:spacing w:after="0" w:line="240" w:lineRule="auto"/>
      </w:pPr>
      <w:r w:rsidRPr="000901C8">
        <w:t xml:space="preserve">Mission: </w:t>
      </w:r>
      <w:r w:rsidR="00292FA8" w:rsidRPr="000901C8">
        <w:t>Provide access to quality early care and education for children and families by increasing program support and community engagement.</w:t>
      </w:r>
      <w:r w:rsidR="00292FA8" w:rsidRPr="00831BE1">
        <w:t xml:space="preserve"> </w:t>
      </w:r>
    </w:p>
    <w:p w14:paraId="5D449B38" w14:textId="044FD326" w:rsidR="00182278" w:rsidRDefault="00182278" w:rsidP="00182278">
      <w:pPr>
        <w:rPr>
          <w:b/>
          <w:bCs/>
          <w:sz w:val="32"/>
          <w:szCs w:val="32"/>
        </w:rPr>
      </w:pPr>
      <w:r w:rsidRPr="00182278">
        <w:rPr>
          <w:b/>
          <w:bCs/>
          <w:sz w:val="32"/>
          <w:szCs w:val="32"/>
        </w:rPr>
        <w:t>Strategic Plan</w:t>
      </w:r>
    </w:p>
    <w:p w14:paraId="34C060D3" w14:textId="77777777" w:rsidR="003673E0" w:rsidRDefault="003673E0" w:rsidP="003673E0">
      <w:pPr>
        <w:spacing w:after="0" w:line="240" w:lineRule="auto"/>
        <w:rPr>
          <w:rFonts w:eastAsia="Times New Roman"/>
          <w:b/>
          <w:bCs/>
        </w:rPr>
      </w:pPr>
      <w:r w:rsidRPr="006E0C23">
        <w:rPr>
          <w:b/>
          <w:bCs/>
        </w:rPr>
        <w:t xml:space="preserve">Goal 1: </w:t>
      </w:r>
      <w:r w:rsidRPr="006E0C23">
        <w:rPr>
          <w:rFonts w:eastAsia="Times New Roman"/>
          <w:b/>
          <w:bCs/>
        </w:rPr>
        <w:t>Improve quality of the early c</w:t>
      </w:r>
      <w:r>
        <w:rPr>
          <w:rFonts w:eastAsia="Times New Roman"/>
          <w:b/>
          <w:bCs/>
        </w:rPr>
        <w:t xml:space="preserve">are and education opportunities for all early childhood programs in the network, all programs are proficient or higher on 2021-2022 performance profile. </w:t>
      </w:r>
    </w:p>
    <w:p w14:paraId="534F53B2" w14:textId="77777777" w:rsidR="003673E0" w:rsidRDefault="003673E0" w:rsidP="003673E0">
      <w:pPr>
        <w:spacing w:after="0" w:line="240" w:lineRule="auto"/>
        <w:rPr>
          <w:rFonts w:eastAsia="Times New Roman"/>
          <w:bCs/>
        </w:rPr>
      </w:pPr>
    </w:p>
    <w:p w14:paraId="254AB3B9" w14:textId="77777777" w:rsidR="003673E0" w:rsidRPr="00F123C0" w:rsidRDefault="003673E0" w:rsidP="003673E0">
      <w:pPr>
        <w:spacing w:after="0" w:line="240" w:lineRule="auto"/>
        <w:rPr>
          <w:rFonts w:eastAsia="Times New Roman"/>
          <w:bCs/>
        </w:rPr>
      </w:pPr>
      <w:r w:rsidRPr="00F123C0">
        <w:rPr>
          <w:rFonts w:eastAsia="Times New Roman"/>
          <w:bCs/>
        </w:rPr>
        <w:t xml:space="preserve">Strategies: </w:t>
      </w:r>
    </w:p>
    <w:p w14:paraId="3DDD94CD" w14:textId="77777777" w:rsidR="003673E0" w:rsidRPr="006E0C23" w:rsidRDefault="003673E0" w:rsidP="003673E0">
      <w:pPr>
        <w:spacing w:after="0" w:line="240" w:lineRule="auto"/>
        <w:rPr>
          <w:rFonts w:eastAsia="Times New Roman"/>
          <w:b/>
          <w:bCs/>
        </w:rPr>
      </w:pPr>
    </w:p>
    <w:p w14:paraId="78A25915" w14:textId="77777777" w:rsidR="003673E0" w:rsidRPr="006E0C23" w:rsidRDefault="003673E0" w:rsidP="003673E0">
      <w:pPr>
        <w:pStyle w:val="ListParagraph"/>
        <w:numPr>
          <w:ilvl w:val="0"/>
          <w:numId w:val="1"/>
        </w:numPr>
      </w:pPr>
      <w:r w:rsidRPr="006E0C23">
        <w:t>Ready Start Coach for all programs (CLASS, Curriculum, GOLD)</w:t>
      </w:r>
    </w:p>
    <w:p w14:paraId="074067F4" w14:textId="77777777" w:rsidR="003673E0" w:rsidRPr="006E0C23" w:rsidRDefault="003673E0" w:rsidP="003673E0">
      <w:pPr>
        <w:pStyle w:val="ListParagraph"/>
        <w:numPr>
          <w:ilvl w:val="0"/>
          <w:numId w:val="1"/>
        </w:numPr>
      </w:pPr>
      <w:r w:rsidRPr="006E0C23">
        <w:t>MMCI coaching for all Pre-K classrooms</w:t>
      </w:r>
    </w:p>
    <w:p w14:paraId="4CE0AFB7" w14:textId="77777777" w:rsidR="003673E0" w:rsidRPr="006E0C23" w:rsidRDefault="003673E0" w:rsidP="003673E0">
      <w:pPr>
        <w:pStyle w:val="ListParagraph"/>
        <w:numPr>
          <w:ilvl w:val="0"/>
          <w:numId w:val="1"/>
        </w:numPr>
        <w:rPr>
          <w:b/>
          <w:bCs/>
        </w:rPr>
      </w:pPr>
      <w:r w:rsidRPr="006E0C23">
        <w:t>MMCI coaching for all I/T classrooms</w:t>
      </w:r>
    </w:p>
    <w:p w14:paraId="42021A49" w14:textId="77777777" w:rsidR="003673E0" w:rsidRDefault="003673E0" w:rsidP="003673E0">
      <w:pPr>
        <w:pStyle w:val="ListParagraph"/>
        <w:numPr>
          <w:ilvl w:val="0"/>
          <w:numId w:val="1"/>
        </w:numPr>
      </w:pPr>
      <w:r>
        <w:t xml:space="preserve">All ECE classrooms with Tier 1 Curricula </w:t>
      </w:r>
      <w:r w:rsidRPr="00CC298E">
        <w:t>Curriculum for all classrooms and sites</w:t>
      </w:r>
    </w:p>
    <w:p w14:paraId="65B72ECB" w14:textId="727C83BA" w:rsidR="003673E0" w:rsidRDefault="003673E0" w:rsidP="003673E0">
      <w:pPr>
        <w:pStyle w:val="ListParagraph"/>
        <w:numPr>
          <w:ilvl w:val="0"/>
          <w:numId w:val="1"/>
        </w:numPr>
      </w:pPr>
      <w:r w:rsidRPr="00CC298E">
        <w:t>CLASSroom Materials</w:t>
      </w:r>
      <w:r>
        <w:t xml:space="preserve"> grants</w:t>
      </w:r>
    </w:p>
    <w:p w14:paraId="62C1E289" w14:textId="3591DBBD" w:rsidR="003673E0" w:rsidRDefault="003673E0" w:rsidP="003673E0">
      <w:pPr>
        <w:pStyle w:val="ListParagraph"/>
        <w:numPr>
          <w:ilvl w:val="0"/>
          <w:numId w:val="4"/>
        </w:numPr>
      </w:pPr>
      <w:r w:rsidRPr="005742AA">
        <w:t>Professional development training (conscious discipline, TBRI, Frog Street)</w:t>
      </w:r>
    </w:p>
    <w:p w14:paraId="37A7C2C5" w14:textId="108B52A5" w:rsidR="003673E0" w:rsidRPr="003673E0" w:rsidRDefault="003673E0" w:rsidP="003673E0">
      <w:pPr>
        <w:pStyle w:val="ListParagraph"/>
        <w:numPr>
          <w:ilvl w:val="0"/>
          <w:numId w:val="4"/>
        </w:numPr>
      </w:pPr>
      <w:r>
        <w:t>Explore possibilities a</w:t>
      </w:r>
      <w:r w:rsidRPr="005742AA">
        <w:t>nnual bonuses for high performing teachers (high proficient/excellent)</w:t>
      </w:r>
    </w:p>
    <w:p w14:paraId="431C808E" w14:textId="77777777" w:rsidR="003673E0" w:rsidRPr="0084368C" w:rsidRDefault="003673E0" w:rsidP="003673E0">
      <w:r w:rsidRPr="0084368C">
        <w:t>Resources:</w:t>
      </w:r>
    </w:p>
    <w:p w14:paraId="377C98CF" w14:textId="1C455608" w:rsidR="003673E0" w:rsidRPr="0084368C" w:rsidRDefault="003673E0" w:rsidP="003673E0">
      <w:pPr>
        <w:pStyle w:val="ListParagraph"/>
        <w:numPr>
          <w:ilvl w:val="0"/>
          <w:numId w:val="2"/>
        </w:numPr>
      </w:pPr>
      <w:r w:rsidRPr="0084368C">
        <w:t>Existing:</w:t>
      </w:r>
      <w:r>
        <w:t xml:space="preserve"> </w:t>
      </w:r>
      <w:r w:rsidR="00101F91" w:rsidRPr="0072052E">
        <w:t>Ready Start Coach certified MMCI PreK &amp; I/T, Pre-K and I/T Train the Trainer</w:t>
      </w:r>
      <w:r w:rsidR="00101F91">
        <w:t xml:space="preserve">.  </w:t>
      </w:r>
      <w:r>
        <w:t xml:space="preserve">Applied to LDE for Classroom </w:t>
      </w:r>
      <w:r w:rsidR="00101F91">
        <w:t xml:space="preserve">Resources and </w:t>
      </w:r>
      <w:r>
        <w:t xml:space="preserve">Materials </w:t>
      </w:r>
      <w:r w:rsidR="00101F91">
        <w:t>grant</w:t>
      </w:r>
      <w:r>
        <w:t xml:space="preserve"> for all ECE </w:t>
      </w:r>
      <w:r w:rsidR="00101F91">
        <w:t>classrooms</w:t>
      </w:r>
      <w:r>
        <w:t>, Center Improvement Grant was provided to Type 3 childcare centers</w:t>
      </w:r>
      <w:r w:rsidR="00101F91">
        <w:t xml:space="preserve"> by Children’s Coalition via SRTC Child Care Grants program. </w:t>
      </w:r>
    </w:p>
    <w:p w14:paraId="01329823" w14:textId="149F42D9" w:rsidR="003673E0" w:rsidRPr="00CC298E" w:rsidRDefault="003673E0" w:rsidP="003673E0">
      <w:pPr>
        <w:pStyle w:val="ListParagraph"/>
        <w:numPr>
          <w:ilvl w:val="0"/>
          <w:numId w:val="1"/>
        </w:numPr>
      </w:pPr>
      <w:r w:rsidRPr="0084368C">
        <w:t>Needed:</w:t>
      </w:r>
      <w:r>
        <w:t xml:space="preserve"> Curricula for Little Angels, Explore possibilities (SRTC, funding from donors, businesses) for a</w:t>
      </w:r>
      <w:r w:rsidRPr="005742AA">
        <w:t>nnual bonuses for high performing teachers (high proficient/excellent)</w:t>
      </w:r>
    </w:p>
    <w:p w14:paraId="41FF1324" w14:textId="62877223" w:rsidR="003673E0" w:rsidRPr="0084368C" w:rsidRDefault="003673E0" w:rsidP="003673E0">
      <w:pPr>
        <w:pStyle w:val="ListParagraph"/>
      </w:pPr>
    </w:p>
    <w:p w14:paraId="718E3307" w14:textId="3B562C61" w:rsidR="003673E0" w:rsidRDefault="003673E0" w:rsidP="003673E0">
      <w:pPr>
        <w:rPr>
          <w:rFonts w:eastAsia="Times New Roman"/>
          <w:bCs/>
        </w:rPr>
      </w:pPr>
      <w:r w:rsidRPr="0084368C">
        <w:t>Performance Metrics:</w:t>
      </w:r>
      <w:r>
        <w:t xml:space="preserve"> CLASS Scores/Performance Profiles – all programs proficient or higher </w:t>
      </w:r>
      <w:r w:rsidRPr="00291DC8">
        <w:rPr>
          <w:rFonts w:eastAsia="Times New Roman"/>
          <w:bCs/>
        </w:rPr>
        <w:t>on 2021-2022 performance profile</w:t>
      </w:r>
    </w:p>
    <w:p w14:paraId="73F15E2D" w14:textId="4AE88A11" w:rsidR="00054E9A" w:rsidRPr="00291DC8" w:rsidRDefault="00054E9A" w:rsidP="003673E0">
      <w:r>
        <w:rPr>
          <w:rFonts w:eastAsia="Times New Roman"/>
          <w:bCs/>
        </w:rPr>
        <w:t>Progress Made: Six out of the seven sites in the network received a Performance Profile rating of Proficient or Higher for the 2019-2020 school year.</w:t>
      </w:r>
    </w:p>
    <w:p w14:paraId="2D3163D2" w14:textId="77777777" w:rsidR="00FE7D81" w:rsidRDefault="00FE7D81" w:rsidP="00FE7D81">
      <w:pPr>
        <w:spacing w:after="0" w:line="240" w:lineRule="auto"/>
        <w:rPr>
          <w:b/>
        </w:rPr>
      </w:pPr>
      <w:r>
        <w:rPr>
          <w:b/>
          <w:bCs/>
        </w:rPr>
        <w:lastRenderedPageBreak/>
        <w:t>Goal 2</w:t>
      </w:r>
      <w:r w:rsidRPr="006E0C23">
        <w:rPr>
          <w:b/>
          <w:bCs/>
        </w:rPr>
        <w:t>:</w:t>
      </w:r>
      <w:r w:rsidRPr="006E0C23">
        <w:rPr>
          <w:rFonts w:eastAsia="Times New Roman"/>
          <w:b/>
          <w:bCs/>
        </w:rPr>
        <w:t xml:space="preserve"> Increase access to early care and education</w:t>
      </w:r>
      <w:r>
        <w:rPr>
          <w:rFonts w:eastAsia="Times New Roman"/>
          <w:b/>
          <w:bCs/>
        </w:rPr>
        <w:t xml:space="preserve"> opportunities for Infants and Toddlers, Birth to age three </w:t>
      </w:r>
      <w:r w:rsidRPr="0017281A">
        <w:rPr>
          <w:b/>
        </w:rPr>
        <w:t xml:space="preserve">enrollment </w:t>
      </w:r>
      <w:r>
        <w:rPr>
          <w:b/>
        </w:rPr>
        <w:t xml:space="preserve">has </w:t>
      </w:r>
      <w:r>
        <w:rPr>
          <w:rFonts w:eastAsia="Times New Roman"/>
          <w:b/>
          <w:bCs/>
        </w:rPr>
        <w:t xml:space="preserve">increased </w:t>
      </w:r>
      <w:r w:rsidRPr="0017281A">
        <w:rPr>
          <w:b/>
        </w:rPr>
        <w:t>by 100 children by 2025.</w:t>
      </w:r>
    </w:p>
    <w:p w14:paraId="5ACF3472" w14:textId="77777777" w:rsidR="00FE7D81" w:rsidRDefault="00FE7D81" w:rsidP="00FE7D81">
      <w:pPr>
        <w:spacing w:after="0" w:line="240" w:lineRule="auto"/>
        <w:rPr>
          <w:rFonts w:eastAsia="Times New Roman"/>
          <w:b/>
          <w:bCs/>
        </w:rPr>
      </w:pPr>
    </w:p>
    <w:p w14:paraId="5A1BEC5A" w14:textId="77777777" w:rsidR="00FE7D81" w:rsidRPr="00F123C0" w:rsidRDefault="00FE7D81" w:rsidP="00FE7D81">
      <w:pPr>
        <w:spacing w:after="0" w:line="240" w:lineRule="auto"/>
        <w:rPr>
          <w:rFonts w:eastAsia="Times New Roman"/>
          <w:bCs/>
        </w:rPr>
      </w:pPr>
      <w:r w:rsidRPr="00F123C0">
        <w:rPr>
          <w:rFonts w:eastAsia="Times New Roman"/>
          <w:bCs/>
        </w:rPr>
        <w:t xml:space="preserve">Strategies: </w:t>
      </w:r>
    </w:p>
    <w:p w14:paraId="7C472AF5" w14:textId="77777777" w:rsidR="00FE7D81" w:rsidRPr="004441A4" w:rsidRDefault="00FE7D81" w:rsidP="00FE7D81">
      <w:pPr>
        <w:pStyle w:val="ListParagraph"/>
        <w:numPr>
          <w:ilvl w:val="0"/>
          <w:numId w:val="2"/>
        </w:numPr>
      </w:pPr>
      <w:r>
        <w:t>E</w:t>
      </w:r>
      <w:r w:rsidRPr="004441A4">
        <w:t>valuate availability of current I/T slots by age and location</w:t>
      </w:r>
      <w:r>
        <w:t xml:space="preserve"> with Monthly child count.</w:t>
      </w:r>
    </w:p>
    <w:p w14:paraId="5147F948" w14:textId="77777777" w:rsidR="00FE7D81" w:rsidRPr="004441A4" w:rsidRDefault="00FE7D81" w:rsidP="00FE7D81">
      <w:pPr>
        <w:pStyle w:val="ListParagraph"/>
        <w:numPr>
          <w:ilvl w:val="0"/>
          <w:numId w:val="1"/>
        </w:numPr>
      </w:pPr>
      <w:r>
        <w:t>I</w:t>
      </w:r>
      <w:r w:rsidRPr="004441A4">
        <w:t xml:space="preserve">dentify potential sites to add additional </w:t>
      </w:r>
      <w:r>
        <w:t>seats</w:t>
      </w:r>
    </w:p>
    <w:p w14:paraId="513317CC" w14:textId="77777777" w:rsidR="00FE7D81" w:rsidRDefault="00FE7D81" w:rsidP="00FE7D81">
      <w:pPr>
        <w:pStyle w:val="ListParagraph"/>
        <w:numPr>
          <w:ilvl w:val="0"/>
          <w:numId w:val="1"/>
        </w:numPr>
      </w:pPr>
      <w:r>
        <w:t>Request</w:t>
      </w:r>
      <w:r w:rsidRPr="004441A4">
        <w:t xml:space="preserve"> </w:t>
      </w:r>
      <w:r>
        <w:t>PDG funding for B-3 seats</w:t>
      </w:r>
    </w:p>
    <w:p w14:paraId="3024C261" w14:textId="77777777" w:rsidR="00FE7D81" w:rsidRDefault="00FE7D81" w:rsidP="00FE7D81">
      <w:pPr>
        <w:pStyle w:val="ListParagraph"/>
        <w:numPr>
          <w:ilvl w:val="0"/>
          <w:numId w:val="1"/>
        </w:numPr>
      </w:pPr>
      <w:r>
        <w:t xml:space="preserve">Explore </w:t>
      </w:r>
      <w:r w:rsidRPr="004441A4">
        <w:t>EHS funding options</w:t>
      </w:r>
      <w:r>
        <w:t xml:space="preserve"> if needed</w:t>
      </w:r>
    </w:p>
    <w:p w14:paraId="0D41D1D7" w14:textId="77777777" w:rsidR="00FE7D81" w:rsidRPr="004441A4" w:rsidRDefault="00FE7D81" w:rsidP="00FE7D81">
      <w:pPr>
        <w:pStyle w:val="ListParagraph"/>
        <w:numPr>
          <w:ilvl w:val="0"/>
          <w:numId w:val="1"/>
        </w:numPr>
      </w:pPr>
      <w:r>
        <w:t>Local Fundraising targeting businesses - SRTC funds raised in parish are invested into increasing access to seats for B-3</w:t>
      </w:r>
    </w:p>
    <w:p w14:paraId="780AE91C" w14:textId="77777777" w:rsidR="00182278" w:rsidRPr="0084368C" w:rsidRDefault="00182278" w:rsidP="00182278">
      <w:r w:rsidRPr="0084368C">
        <w:t>Resources:</w:t>
      </w:r>
    </w:p>
    <w:p w14:paraId="559DDFB1" w14:textId="37A0B8C3" w:rsidR="00182278" w:rsidRPr="0084368C" w:rsidRDefault="00182278" w:rsidP="00182278">
      <w:pPr>
        <w:pStyle w:val="ListParagraph"/>
        <w:numPr>
          <w:ilvl w:val="0"/>
          <w:numId w:val="2"/>
        </w:numPr>
      </w:pPr>
      <w:r w:rsidRPr="0084368C">
        <w:t>Existing:</w:t>
      </w:r>
      <w:r w:rsidR="00FD3AE9">
        <w:t xml:space="preserve"> Kidz 1</w:t>
      </w:r>
      <w:r w:rsidR="00FD3AE9" w:rsidRPr="00FD3AE9">
        <w:rPr>
          <w:vertAlign w:val="superscript"/>
        </w:rPr>
        <w:t>st</w:t>
      </w:r>
      <w:r w:rsidR="00FD3AE9">
        <w:t xml:space="preserve"> Morehous</w:t>
      </w:r>
      <w:r w:rsidR="00E65E55">
        <w:t>e community partners have already laid the foundation for community education. Community partners are already knowledgeable of early child development. Additionally, Parents As Teachers, Early Steps and Morehouse Health</w:t>
      </w:r>
      <w:r w:rsidR="00FE7D81">
        <w:t>y</w:t>
      </w:r>
      <w:r w:rsidR="00E65E55">
        <w:t xml:space="preserve"> Communities are on board and already working with families and the community. </w:t>
      </w:r>
      <w:r w:rsidR="00FE7D81">
        <w:t xml:space="preserve">Within the network we currently have four child care centers who serve B to 3 age group. </w:t>
      </w:r>
      <w:r w:rsidR="00795455">
        <w:t>Based on the available data from the 2018-2019 school year, t</w:t>
      </w:r>
      <w:r w:rsidR="00FE7D81">
        <w:t xml:space="preserve">he Prep Center has a </w:t>
      </w:r>
      <w:r w:rsidR="008E127A">
        <w:t xml:space="preserve">High </w:t>
      </w:r>
      <w:r w:rsidR="00FE7D81">
        <w:t xml:space="preserve">Proficient rating, ECEC certified teachers and utilizes the following Tier 1 </w:t>
      </w:r>
      <w:r w:rsidR="008E127A">
        <w:t>c</w:t>
      </w:r>
      <w:r w:rsidR="00FE7D81">
        <w:t xml:space="preserve">urriculum: DIG for Pre-K 4, Frog Street Threes and Frog Street Infant and Toddler.  Little Angels Daycare has a </w:t>
      </w:r>
      <w:r w:rsidR="00795455">
        <w:t xml:space="preserve">High </w:t>
      </w:r>
      <w:r w:rsidR="00FE7D81">
        <w:t xml:space="preserve">Proficient rating, ECAC certified teachers </w:t>
      </w:r>
      <w:r w:rsidR="008E127A">
        <w:t>and utilizes Frog Street Tier 1 curriculum across the center. Little Ones Daycare has a Proficient rating and ECAC certified teachers and utilizes Frog Street Tier 1 curriculum across the center. Our House Child Care Center has a</w:t>
      </w:r>
      <w:r w:rsidR="0013743D">
        <w:t>n</w:t>
      </w:r>
      <w:r w:rsidR="008E127A">
        <w:t xml:space="preserve"> Approaching Proficient rating and ECAC certified teachers and utilizes Frog Street Tier 1 curriculum across the center. </w:t>
      </w:r>
    </w:p>
    <w:p w14:paraId="249B6158" w14:textId="0E6C8664" w:rsidR="00182278" w:rsidRPr="0084368C" w:rsidRDefault="00182278" w:rsidP="00B34C89">
      <w:pPr>
        <w:pStyle w:val="ListParagraph"/>
        <w:numPr>
          <w:ilvl w:val="0"/>
          <w:numId w:val="2"/>
        </w:numPr>
      </w:pPr>
      <w:r w:rsidRPr="0084368C">
        <w:t>Needed:</w:t>
      </w:r>
      <w:r w:rsidR="00E65E55">
        <w:t xml:space="preserve"> </w:t>
      </w:r>
      <w:r w:rsidR="0026225F">
        <w:t xml:space="preserve">Funding for B to 3 seats. </w:t>
      </w:r>
      <w:r w:rsidR="00B34C89">
        <w:t xml:space="preserve">The barrier to serving in-need Infants, Toddlers and Threes in Morehouse parish is not the availability of spots in childcare centers, but the funding for the spots that already exist. Little Ones and Little Angels both have open space to serve more children in their centers. At Little Angels two of the classrooms are empty because parents are unable afford to pay for care. </w:t>
      </w:r>
    </w:p>
    <w:p w14:paraId="77F230DA" w14:textId="7B0759B4" w:rsidR="00182278" w:rsidRDefault="00182278" w:rsidP="00182278">
      <w:r w:rsidRPr="0084368C">
        <w:t>Performance Metrics:</w:t>
      </w:r>
      <w:r w:rsidR="0026225F" w:rsidRPr="0026225F">
        <w:t xml:space="preserve"> </w:t>
      </w:r>
      <w:r w:rsidR="0026225F">
        <w:t>Increased B-3 enrollment by 100 children by 2025</w:t>
      </w:r>
    </w:p>
    <w:p w14:paraId="640951BD" w14:textId="0EA2BC6F" w:rsidR="0070251A" w:rsidRPr="0084368C" w:rsidRDefault="0070251A" w:rsidP="00182278">
      <w:r>
        <w:t xml:space="preserve">Progress Made: For the 2020-2021 school year, Ready Start </w:t>
      </w:r>
      <w:r w:rsidR="00C342AC">
        <w:t>Morehouse</w:t>
      </w:r>
      <w:r>
        <w:t xml:space="preserve"> was awarded a total of 20 PDG Birth to 3 seats to be placed at two sites that met the qualifications to be eligible for the seats. Those sites are Little Angel’s and Little One’s.</w:t>
      </w:r>
    </w:p>
    <w:p w14:paraId="4976F23D" w14:textId="7337ED64" w:rsidR="00E546DE" w:rsidRPr="0084368C" w:rsidRDefault="0013743D" w:rsidP="00E546DE">
      <w:r>
        <w:rPr>
          <w:b/>
          <w:bCs/>
        </w:rPr>
        <w:t>Goal 3</w:t>
      </w:r>
      <w:r w:rsidR="00182278" w:rsidRPr="00FD7F2C">
        <w:rPr>
          <w:b/>
          <w:bCs/>
        </w:rPr>
        <w:t>:</w:t>
      </w:r>
      <w:r w:rsidR="00B90967" w:rsidRPr="00FD7F2C">
        <w:rPr>
          <w:b/>
          <w:bCs/>
        </w:rPr>
        <w:t xml:space="preserve"> Increase </w:t>
      </w:r>
      <w:r w:rsidR="008F77D7">
        <w:rPr>
          <w:b/>
          <w:bCs/>
        </w:rPr>
        <w:t>r</w:t>
      </w:r>
      <w:r w:rsidR="00B90967" w:rsidRPr="00FD7F2C">
        <w:rPr>
          <w:b/>
          <w:bCs/>
        </w:rPr>
        <w:t xml:space="preserve">eferrals to Early </w:t>
      </w:r>
      <w:r w:rsidR="008F77D7">
        <w:rPr>
          <w:b/>
          <w:bCs/>
        </w:rPr>
        <w:t xml:space="preserve">Steps </w:t>
      </w:r>
      <w:r w:rsidR="000F2479" w:rsidRPr="00FD7F2C">
        <w:rPr>
          <w:b/>
          <w:bCs/>
        </w:rPr>
        <w:t>w</w:t>
      </w:r>
      <w:r w:rsidR="008F77D7">
        <w:rPr>
          <w:b/>
          <w:bCs/>
        </w:rPr>
        <w:t>ith</w:t>
      </w:r>
      <w:r w:rsidR="000F2479" w:rsidRPr="00FD7F2C">
        <w:rPr>
          <w:b/>
          <w:bCs/>
        </w:rPr>
        <w:t xml:space="preserve"> follow up</w:t>
      </w:r>
      <w:r w:rsidR="00E546DE">
        <w:rPr>
          <w:b/>
          <w:bCs/>
        </w:rPr>
        <w:t xml:space="preserve"> </w:t>
      </w:r>
      <w:r w:rsidR="00E546DE" w:rsidRPr="00E546DE">
        <w:rPr>
          <w:b/>
        </w:rPr>
        <w:t>by 10% by the end of the 2021-2022 school year.</w:t>
      </w:r>
      <w:r w:rsidR="00E546DE">
        <w:t xml:space="preserve"> </w:t>
      </w:r>
    </w:p>
    <w:p w14:paraId="17197561" w14:textId="29D92EAD" w:rsidR="00182278" w:rsidRDefault="00E546DE" w:rsidP="00E546DE">
      <w:pPr>
        <w:spacing w:after="0" w:line="240" w:lineRule="auto"/>
        <w:rPr>
          <w:rFonts w:eastAsia="Times New Roman"/>
          <w:bCs/>
        </w:rPr>
      </w:pPr>
      <w:r w:rsidRPr="00F123C0">
        <w:rPr>
          <w:rFonts w:eastAsia="Times New Roman"/>
          <w:bCs/>
        </w:rPr>
        <w:t xml:space="preserve">Strategies: </w:t>
      </w:r>
    </w:p>
    <w:p w14:paraId="0BE06A1C" w14:textId="77777777" w:rsidR="00E546DE" w:rsidRPr="00E546DE" w:rsidRDefault="00E546DE" w:rsidP="00E546DE">
      <w:pPr>
        <w:spacing w:after="0" w:line="240" w:lineRule="auto"/>
        <w:rPr>
          <w:rFonts w:eastAsia="Times New Roman"/>
          <w:bCs/>
        </w:rPr>
      </w:pPr>
    </w:p>
    <w:p w14:paraId="7800BD9D" w14:textId="2CA3F7A9" w:rsidR="008F77D7" w:rsidRPr="008F77D7" w:rsidRDefault="008F77D7" w:rsidP="008F77D7">
      <w:pPr>
        <w:pStyle w:val="ListParagraph"/>
        <w:numPr>
          <w:ilvl w:val="0"/>
          <w:numId w:val="1"/>
        </w:numPr>
      </w:pPr>
      <w:r w:rsidRPr="008F77D7">
        <w:t>Conduct developmental screenings / ASQ’s for Infants and Toddlers enrolled in Type III childcare centers</w:t>
      </w:r>
      <w:r w:rsidR="00723626">
        <w:t xml:space="preserve"> and FCC Pilot Providers</w:t>
      </w:r>
      <w:r w:rsidRPr="008F77D7">
        <w:t xml:space="preserve">. Referral to Early Steps as needed based on screenings completed. </w:t>
      </w:r>
    </w:p>
    <w:p w14:paraId="2BAA78AA" w14:textId="7F63E97B" w:rsidR="008F77D7" w:rsidRPr="008F77D7" w:rsidRDefault="008F77D7" w:rsidP="008F77D7">
      <w:pPr>
        <w:pStyle w:val="ListParagraph"/>
        <w:numPr>
          <w:ilvl w:val="0"/>
          <w:numId w:val="1"/>
        </w:numPr>
      </w:pPr>
      <w:r>
        <w:t>Training on how to conduct ASQ’s</w:t>
      </w:r>
      <w:r w:rsidR="00723626">
        <w:t xml:space="preserve"> (Julie)</w:t>
      </w:r>
    </w:p>
    <w:p w14:paraId="7A594FAA" w14:textId="2960CE63" w:rsidR="00182278" w:rsidRDefault="008F77D7" w:rsidP="008F77D7">
      <w:pPr>
        <w:pStyle w:val="ListParagraph"/>
        <w:numPr>
          <w:ilvl w:val="0"/>
          <w:numId w:val="1"/>
        </w:numPr>
      </w:pPr>
      <w:r>
        <w:t>Training on Early Steps referral process</w:t>
      </w:r>
      <w:r w:rsidR="00723626">
        <w:t xml:space="preserve"> (Tracy Crump and/or Ceria Dunn)</w:t>
      </w:r>
    </w:p>
    <w:p w14:paraId="707C0991" w14:textId="7BCDE0D7" w:rsidR="00723626" w:rsidRPr="008F77D7" w:rsidRDefault="00723626" w:rsidP="008F77D7">
      <w:pPr>
        <w:pStyle w:val="ListParagraph"/>
        <w:numPr>
          <w:ilvl w:val="0"/>
          <w:numId w:val="1"/>
        </w:numPr>
      </w:pPr>
      <w:r>
        <w:t xml:space="preserve">Training on Red Flags for developmental delays and how to refer out for intervention services. </w:t>
      </w:r>
    </w:p>
    <w:p w14:paraId="4F521402" w14:textId="77777777" w:rsidR="00182278" w:rsidRPr="0084368C" w:rsidRDefault="00182278" w:rsidP="00182278">
      <w:r w:rsidRPr="0084368C">
        <w:t>Resources:</w:t>
      </w:r>
    </w:p>
    <w:p w14:paraId="1AD67642" w14:textId="280DC1BA" w:rsidR="00182278" w:rsidRPr="0084368C" w:rsidRDefault="00182278" w:rsidP="00182278">
      <w:pPr>
        <w:pStyle w:val="ListParagraph"/>
        <w:numPr>
          <w:ilvl w:val="0"/>
          <w:numId w:val="2"/>
        </w:numPr>
      </w:pPr>
      <w:r w:rsidRPr="0084368C">
        <w:t>Existing:</w:t>
      </w:r>
      <w:r w:rsidR="00723626">
        <w:t xml:space="preserve"> Early Steps and Kidz 1</w:t>
      </w:r>
      <w:r w:rsidR="00723626" w:rsidRPr="00723626">
        <w:rPr>
          <w:vertAlign w:val="superscript"/>
        </w:rPr>
        <w:t>st</w:t>
      </w:r>
      <w:r w:rsidR="00723626">
        <w:t xml:space="preserve"> Morehouse, FCC Pilot providers </w:t>
      </w:r>
    </w:p>
    <w:p w14:paraId="30837A2D" w14:textId="4D1CA8C2" w:rsidR="00182278" w:rsidRPr="0084368C" w:rsidRDefault="00182278" w:rsidP="00182278">
      <w:pPr>
        <w:pStyle w:val="ListParagraph"/>
        <w:numPr>
          <w:ilvl w:val="0"/>
          <w:numId w:val="2"/>
        </w:numPr>
      </w:pPr>
      <w:r w:rsidRPr="0084368C">
        <w:t>Needed:</w:t>
      </w:r>
      <w:r w:rsidR="00723626">
        <w:t xml:space="preserve"> Trainings as listed above. </w:t>
      </w:r>
    </w:p>
    <w:p w14:paraId="1B52C073" w14:textId="342962AB" w:rsidR="0013743D" w:rsidRDefault="00182278" w:rsidP="0013743D">
      <w:r w:rsidRPr="0084368C">
        <w:t>Performance Metrics:</w:t>
      </w:r>
      <w:r w:rsidR="00723626">
        <w:t xml:space="preserve"> </w:t>
      </w:r>
      <w:r w:rsidR="0013743D">
        <w:t xml:space="preserve">Increase by 10% by the end of the 2021-2022 school year. </w:t>
      </w:r>
    </w:p>
    <w:p w14:paraId="32BB07D3" w14:textId="4C27EAFD" w:rsidR="00292415" w:rsidRPr="0084368C" w:rsidRDefault="00292415" w:rsidP="0013743D">
      <w:r>
        <w:t>Progress Made: In September 2020, Type 3 childcare centers received a set of the ASQ’s master copy. The teachers were also provided with training on implementation of the ASQ’s and the Early Steps Referral process.</w:t>
      </w:r>
    </w:p>
    <w:p w14:paraId="3EF2CCAA" w14:textId="38F10BC4" w:rsidR="00182278" w:rsidRDefault="00182278" w:rsidP="00182278"/>
    <w:p w14:paraId="125D1FC5" w14:textId="77777777" w:rsidR="00E14A90" w:rsidRPr="0084368C" w:rsidRDefault="00E14A90" w:rsidP="00182278"/>
    <w:p w14:paraId="1E56AA1C" w14:textId="77777777" w:rsidR="00E964C3" w:rsidRPr="00E31210" w:rsidRDefault="00E964C3" w:rsidP="00E964C3">
      <w:pPr>
        <w:jc w:val="center"/>
        <w:rPr>
          <w:rFonts w:cs="Times New Roman"/>
          <w:bCs/>
          <w:i/>
          <w:iCs/>
          <w:sz w:val="18"/>
          <w:szCs w:val="18"/>
        </w:rPr>
      </w:pPr>
      <w:r w:rsidRPr="00B34487">
        <w:rPr>
          <w:rFonts w:cs="Times New Roman"/>
          <w:b/>
          <w:bCs/>
          <w:i/>
          <w:iCs/>
          <w:sz w:val="36"/>
          <w:szCs w:val="36"/>
        </w:rPr>
        <w:t>2</w:t>
      </w:r>
      <w:r w:rsidRPr="00B34487">
        <w:rPr>
          <w:rFonts w:cs="Times New Roman"/>
          <w:b/>
          <w:bCs/>
          <w:i/>
          <w:iCs/>
        </w:rPr>
        <w:t xml:space="preserve"> out of </w:t>
      </w:r>
      <w:r w:rsidRPr="00B34487">
        <w:rPr>
          <w:rFonts w:cs="Times New Roman"/>
          <w:b/>
          <w:bCs/>
          <w:i/>
          <w:iCs/>
          <w:sz w:val="36"/>
          <w:szCs w:val="36"/>
        </w:rPr>
        <w:t>3</w:t>
      </w:r>
      <w:r w:rsidRPr="00B34487">
        <w:rPr>
          <w:rFonts w:cs="Times New Roman"/>
          <w:b/>
          <w:bCs/>
          <w:i/>
          <w:iCs/>
        </w:rPr>
        <w:t xml:space="preserve"> </w:t>
      </w:r>
      <w:r w:rsidRPr="004D03BD">
        <w:rPr>
          <w:rFonts w:cs="Times New Roman"/>
          <w:b/>
          <w:bCs/>
          <w:i/>
          <w:iCs/>
        </w:rPr>
        <w:t xml:space="preserve">children ages birth to five in Louisiana have both parents or their single parent in the workforce. Increased access to reliable, quality early care and education is necessary to ensure our economy thrives today &amp; </w:t>
      </w:r>
      <w:r>
        <w:rPr>
          <w:rFonts w:cs="Times New Roman"/>
          <w:b/>
          <w:bCs/>
          <w:i/>
          <w:iCs/>
        </w:rPr>
        <w:t>tomorrow.</w:t>
      </w:r>
      <w:r>
        <w:rPr>
          <w:rFonts w:cs="Times New Roman"/>
          <w:bCs/>
          <w:i/>
          <w:iCs/>
          <w:sz w:val="18"/>
          <w:szCs w:val="18"/>
        </w:rPr>
        <w:t xml:space="preserve">      </w:t>
      </w:r>
      <w:r w:rsidRPr="00E31210">
        <w:rPr>
          <w:rFonts w:cs="Times New Roman"/>
          <w:bCs/>
          <w:i/>
          <w:iCs/>
          <w:sz w:val="18"/>
          <w:szCs w:val="18"/>
        </w:rPr>
        <w:t>Louisiana Policy Institute for Children</w:t>
      </w:r>
    </w:p>
    <w:p w14:paraId="47D4E4B1" w14:textId="77777777" w:rsidR="00182278" w:rsidRPr="00182278" w:rsidRDefault="00182278" w:rsidP="00182278">
      <w:pPr>
        <w:rPr>
          <w:sz w:val="24"/>
          <w:szCs w:val="24"/>
        </w:rPr>
      </w:pPr>
    </w:p>
    <w:sectPr w:rsidR="00182278" w:rsidRPr="00182278" w:rsidSect="00443A6E">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5B56B" w14:textId="77777777" w:rsidR="00485E91" w:rsidRDefault="00485E91" w:rsidP="00B039FA">
      <w:pPr>
        <w:spacing w:after="0" w:line="240" w:lineRule="auto"/>
      </w:pPr>
      <w:r>
        <w:separator/>
      </w:r>
    </w:p>
  </w:endnote>
  <w:endnote w:type="continuationSeparator" w:id="0">
    <w:p w14:paraId="603888E5" w14:textId="77777777" w:rsidR="00485E91" w:rsidRDefault="00485E91" w:rsidP="00B0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EFA05" w14:textId="77777777" w:rsidR="00485E91" w:rsidRDefault="00485E91" w:rsidP="00B039FA">
      <w:pPr>
        <w:spacing w:after="0" w:line="240" w:lineRule="auto"/>
      </w:pPr>
      <w:r>
        <w:separator/>
      </w:r>
    </w:p>
  </w:footnote>
  <w:footnote w:type="continuationSeparator" w:id="0">
    <w:p w14:paraId="3291DC9D" w14:textId="77777777" w:rsidR="00485E91" w:rsidRDefault="00485E91" w:rsidP="00B03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0CF07" w14:textId="4F1E984F" w:rsidR="00B039FA" w:rsidRDefault="009139BD">
    <w:pPr>
      <w:pStyle w:val="Header"/>
    </w:pPr>
    <w:r>
      <w:rPr>
        <w:noProof/>
      </w:rPr>
      <w:pict w14:anchorId="29AC39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439079" o:sp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3AD3A" w14:textId="078167F7" w:rsidR="00B039FA" w:rsidRDefault="009139BD">
    <w:pPr>
      <w:pStyle w:val="Header"/>
    </w:pPr>
    <w:r>
      <w:rPr>
        <w:noProof/>
      </w:rPr>
      <w:pict w14:anchorId="4E21F3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439080" o:spid="_x0000_s2051" type="#_x0000_t136" style="position:absolute;margin-left:0;margin-top:0;width:439.9pt;height:219.9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6EE18" w14:textId="3964FEE3" w:rsidR="00B039FA" w:rsidRDefault="009139BD">
    <w:pPr>
      <w:pStyle w:val="Header"/>
    </w:pPr>
    <w:r>
      <w:rPr>
        <w:noProof/>
      </w:rPr>
      <w:pict w14:anchorId="30D368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439078" o:spid="_x0000_s2049"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D0B14"/>
    <w:multiLevelType w:val="hybridMultilevel"/>
    <w:tmpl w:val="51C21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06ACF"/>
    <w:multiLevelType w:val="hybridMultilevel"/>
    <w:tmpl w:val="AFCE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16022"/>
    <w:multiLevelType w:val="hybridMultilevel"/>
    <w:tmpl w:val="880E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D0E043A"/>
    <w:multiLevelType w:val="hybridMultilevel"/>
    <w:tmpl w:val="A464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954241"/>
    <w:multiLevelType w:val="hybridMultilevel"/>
    <w:tmpl w:val="F286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278"/>
    <w:rsid w:val="00054E9A"/>
    <w:rsid w:val="000901C8"/>
    <w:rsid w:val="000A6728"/>
    <w:rsid w:val="000B7CF5"/>
    <w:rsid w:val="000F2479"/>
    <w:rsid w:val="00101F91"/>
    <w:rsid w:val="00107747"/>
    <w:rsid w:val="00116BA7"/>
    <w:rsid w:val="0013743D"/>
    <w:rsid w:val="00182278"/>
    <w:rsid w:val="00197D3B"/>
    <w:rsid w:val="001A26F3"/>
    <w:rsid w:val="001B7735"/>
    <w:rsid w:val="001C2D5E"/>
    <w:rsid w:val="001C5F07"/>
    <w:rsid w:val="001D124A"/>
    <w:rsid w:val="0026225F"/>
    <w:rsid w:val="00284B62"/>
    <w:rsid w:val="00292415"/>
    <w:rsid w:val="00292FA8"/>
    <w:rsid w:val="002A2F86"/>
    <w:rsid w:val="002D5677"/>
    <w:rsid w:val="003521EF"/>
    <w:rsid w:val="0035672E"/>
    <w:rsid w:val="003673E0"/>
    <w:rsid w:val="00370F5F"/>
    <w:rsid w:val="00393C42"/>
    <w:rsid w:val="003A278D"/>
    <w:rsid w:val="003A3573"/>
    <w:rsid w:val="003C2F35"/>
    <w:rsid w:val="003E141F"/>
    <w:rsid w:val="0041535B"/>
    <w:rsid w:val="00433836"/>
    <w:rsid w:val="00443A6E"/>
    <w:rsid w:val="004441A4"/>
    <w:rsid w:val="00456F10"/>
    <w:rsid w:val="00470067"/>
    <w:rsid w:val="004812AA"/>
    <w:rsid w:val="00485E91"/>
    <w:rsid w:val="00530566"/>
    <w:rsid w:val="00544772"/>
    <w:rsid w:val="00546039"/>
    <w:rsid w:val="005515B5"/>
    <w:rsid w:val="0057019D"/>
    <w:rsid w:val="005742AA"/>
    <w:rsid w:val="005F694D"/>
    <w:rsid w:val="00613A00"/>
    <w:rsid w:val="00623676"/>
    <w:rsid w:val="00683248"/>
    <w:rsid w:val="006A06B4"/>
    <w:rsid w:val="006A4F19"/>
    <w:rsid w:val="006C0179"/>
    <w:rsid w:val="006D58AF"/>
    <w:rsid w:val="006F52EF"/>
    <w:rsid w:val="0070251A"/>
    <w:rsid w:val="0072052E"/>
    <w:rsid w:val="0072238F"/>
    <w:rsid w:val="00723626"/>
    <w:rsid w:val="00726B2D"/>
    <w:rsid w:val="0072767B"/>
    <w:rsid w:val="00795455"/>
    <w:rsid w:val="007A6D70"/>
    <w:rsid w:val="007E3007"/>
    <w:rsid w:val="007F0CD0"/>
    <w:rsid w:val="00820BC3"/>
    <w:rsid w:val="00823B0D"/>
    <w:rsid w:val="00831BE1"/>
    <w:rsid w:val="0084368C"/>
    <w:rsid w:val="00862BDC"/>
    <w:rsid w:val="008B3503"/>
    <w:rsid w:val="008E127A"/>
    <w:rsid w:val="008E3AD7"/>
    <w:rsid w:val="008F77D7"/>
    <w:rsid w:val="00907EFD"/>
    <w:rsid w:val="009139BD"/>
    <w:rsid w:val="00996AAD"/>
    <w:rsid w:val="009B479B"/>
    <w:rsid w:val="00A90D1C"/>
    <w:rsid w:val="00AB72FD"/>
    <w:rsid w:val="00AC7ACA"/>
    <w:rsid w:val="00AE20CC"/>
    <w:rsid w:val="00B039FA"/>
    <w:rsid w:val="00B17C43"/>
    <w:rsid w:val="00B34C89"/>
    <w:rsid w:val="00B37020"/>
    <w:rsid w:val="00B90967"/>
    <w:rsid w:val="00C05E13"/>
    <w:rsid w:val="00C14EDE"/>
    <w:rsid w:val="00C342AC"/>
    <w:rsid w:val="00CC298E"/>
    <w:rsid w:val="00D80BC0"/>
    <w:rsid w:val="00DB01DD"/>
    <w:rsid w:val="00DD0283"/>
    <w:rsid w:val="00E14A90"/>
    <w:rsid w:val="00E222DC"/>
    <w:rsid w:val="00E31210"/>
    <w:rsid w:val="00E445CD"/>
    <w:rsid w:val="00E546DE"/>
    <w:rsid w:val="00E5506A"/>
    <w:rsid w:val="00E65E55"/>
    <w:rsid w:val="00E753A4"/>
    <w:rsid w:val="00E964C3"/>
    <w:rsid w:val="00EA0D1E"/>
    <w:rsid w:val="00EC28EE"/>
    <w:rsid w:val="00F33394"/>
    <w:rsid w:val="00F93E20"/>
    <w:rsid w:val="00FD3AE9"/>
    <w:rsid w:val="00FD7F2C"/>
    <w:rsid w:val="00FE44F7"/>
    <w:rsid w:val="00FE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546CA8"/>
  <w15:chartTrackingRefBased/>
  <w15:docId w15:val="{17F0A3DC-F37A-42C0-92DD-C6B661BB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278"/>
    <w:pPr>
      <w:ind w:left="720"/>
      <w:contextualSpacing/>
    </w:pPr>
  </w:style>
  <w:style w:type="table" w:styleId="TableGrid">
    <w:name w:val="Table Grid"/>
    <w:basedOn w:val="TableNormal"/>
    <w:uiPriority w:val="59"/>
    <w:rsid w:val="00182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278"/>
    <w:rPr>
      <w:rFonts w:ascii="Segoe UI" w:hAnsi="Segoe UI" w:cs="Segoe UI"/>
      <w:sz w:val="18"/>
      <w:szCs w:val="18"/>
    </w:rPr>
  </w:style>
  <w:style w:type="paragraph" w:styleId="Header">
    <w:name w:val="header"/>
    <w:basedOn w:val="Normal"/>
    <w:link w:val="HeaderChar"/>
    <w:uiPriority w:val="99"/>
    <w:unhideWhenUsed/>
    <w:rsid w:val="00B03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9FA"/>
  </w:style>
  <w:style w:type="paragraph" w:styleId="Footer">
    <w:name w:val="footer"/>
    <w:basedOn w:val="Normal"/>
    <w:link w:val="FooterChar"/>
    <w:uiPriority w:val="99"/>
    <w:unhideWhenUsed/>
    <w:rsid w:val="00B03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37982">
      <w:bodyDiv w:val="1"/>
      <w:marLeft w:val="0"/>
      <w:marRight w:val="0"/>
      <w:marTop w:val="0"/>
      <w:marBottom w:val="0"/>
      <w:divBdr>
        <w:top w:val="none" w:sz="0" w:space="0" w:color="auto"/>
        <w:left w:val="none" w:sz="0" w:space="0" w:color="auto"/>
        <w:bottom w:val="none" w:sz="0" w:space="0" w:color="auto"/>
        <w:right w:val="none" w:sz="0" w:space="0" w:color="auto"/>
      </w:divBdr>
    </w:div>
    <w:div w:id="1105929977">
      <w:bodyDiv w:val="1"/>
      <w:marLeft w:val="0"/>
      <w:marRight w:val="0"/>
      <w:marTop w:val="0"/>
      <w:marBottom w:val="0"/>
      <w:divBdr>
        <w:top w:val="none" w:sz="0" w:space="0" w:color="auto"/>
        <w:left w:val="none" w:sz="0" w:space="0" w:color="auto"/>
        <w:bottom w:val="none" w:sz="0" w:space="0" w:color="auto"/>
        <w:right w:val="none" w:sz="0" w:space="0" w:color="auto"/>
      </w:divBdr>
    </w:div>
    <w:div w:id="1669674527">
      <w:bodyDiv w:val="1"/>
      <w:marLeft w:val="0"/>
      <w:marRight w:val="0"/>
      <w:marTop w:val="0"/>
      <w:marBottom w:val="0"/>
      <w:divBdr>
        <w:top w:val="none" w:sz="0" w:space="0" w:color="auto"/>
        <w:left w:val="none" w:sz="0" w:space="0" w:color="auto"/>
        <w:bottom w:val="none" w:sz="0" w:space="0" w:color="auto"/>
        <w:right w:val="none" w:sz="0" w:space="0" w:color="auto"/>
      </w:divBdr>
    </w:div>
    <w:div w:id="1900629936">
      <w:bodyDiv w:val="1"/>
      <w:marLeft w:val="0"/>
      <w:marRight w:val="0"/>
      <w:marTop w:val="0"/>
      <w:marBottom w:val="0"/>
      <w:divBdr>
        <w:top w:val="none" w:sz="0" w:space="0" w:color="auto"/>
        <w:left w:val="none" w:sz="0" w:space="0" w:color="auto"/>
        <w:bottom w:val="none" w:sz="0" w:space="0" w:color="auto"/>
        <w:right w:val="none" w:sz="0" w:space="0" w:color="auto"/>
      </w:divBdr>
    </w:div>
    <w:div w:id="197729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a:t>Early Childhood Access &amp; Access to Quality  Morehouse Parish</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US" sz="1000" i="1">
                <a:effectLst/>
              </a:rPr>
              <a:t>Data from Morehouse Network Performance Profile 2018-2019</a:t>
            </a:r>
            <a:endParaRPr lang="en-US" sz="1000">
              <a:effectLst/>
            </a:endParaRPr>
          </a:p>
        </c:rich>
      </c:tx>
      <c:layout>
        <c:manualLayout>
          <c:xMode val="edge"/>
          <c:yMode val="edge"/>
          <c:x val="0.12403728380106332"/>
          <c:y val="0"/>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7.9213944410794809E-2"/>
          <c:y val="0.20552683326159793"/>
          <c:w val="0.79942099737532812"/>
          <c:h val="0.57794275715535559"/>
        </c:manualLayout>
      </c:layout>
      <c:barChart>
        <c:barDir val="col"/>
        <c:grouping val="clustered"/>
        <c:varyColors val="0"/>
        <c:ser>
          <c:idx val="0"/>
          <c:order val="0"/>
          <c:tx>
            <c:strRef>
              <c:f>Sheet1!$B$1</c:f>
              <c:strCache>
                <c:ptCount val="1"/>
                <c:pt idx="0">
                  <c:v>Infants</c:v>
                </c:pt>
              </c:strCache>
            </c:strRef>
          </c:tx>
          <c:spPr>
            <a:solidFill>
              <a:schemeClr val="accent1">
                <a:tint val="54000"/>
              </a:schemeClr>
            </a:solidFill>
            <a:ln>
              <a:noFill/>
            </a:ln>
            <a:effectLst/>
          </c:spPr>
          <c:invertIfNegative val="0"/>
          <c:cat>
            <c:strRef>
              <c:f>Sheet1!$A$2:$A$5</c:f>
              <c:strCache>
                <c:ptCount val="2"/>
                <c:pt idx="0">
                  <c:v>Access</c:v>
                </c:pt>
                <c:pt idx="1">
                  <c:v>Access to Quailty</c:v>
                </c:pt>
              </c:strCache>
            </c:strRef>
          </c:cat>
          <c:val>
            <c:numRef>
              <c:f>Sheet1!$B$2:$B$5</c:f>
              <c:numCache>
                <c:formatCode>0%</c:formatCode>
                <c:ptCount val="4"/>
                <c:pt idx="0">
                  <c:v>0.02</c:v>
                </c:pt>
                <c:pt idx="1">
                  <c:v>0.01</c:v>
                </c:pt>
              </c:numCache>
            </c:numRef>
          </c:val>
          <c:extLst>
            <c:ext xmlns:c16="http://schemas.microsoft.com/office/drawing/2014/chart" uri="{C3380CC4-5D6E-409C-BE32-E72D297353CC}">
              <c16:uniqueId val="{00000000-986C-4D15-A4B1-C3F6448A9CD8}"/>
            </c:ext>
          </c:extLst>
        </c:ser>
        <c:ser>
          <c:idx val="1"/>
          <c:order val="1"/>
          <c:tx>
            <c:strRef>
              <c:f>Sheet1!$C$1</c:f>
              <c:strCache>
                <c:ptCount val="1"/>
                <c:pt idx="0">
                  <c:v>Ones</c:v>
                </c:pt>
              </c:strCache>
            </c:strRef>
          </c:tx>
          <c:spPr>
            <a:solidFill>
              <a:schemeClr val="accent1">
                <a:tint val="77000"/>
              </a:schemeClr>
            </a:solidFill>
            <a:ln>
              <a:noFill/>
            </a:ln>
            <a:effectLst/>
          </c:spPr>
          <c:invertIfNegative val="0"/>
          <c:cat>
            <c:strRef>
              <c:f>Sheet1!$A$2:$A$5</c:f>
              <c:strCache>
                <c:ptCount val="2"/>
                <c:pt idx="0">
                  <c:v>Access</c:v>
                </c:pt>
                <c:pt idx="1">
                  <c:v>Access to Quailty</c:v>
                </c:pt>
              </c:strCache>
            </c:strRef>
          </c:cat>
          <c:val>
            <c:numRef>
              <c:f>Sheet1!$C$2:$C$5</c:f>
              <c:numCache>
                <c:formatCode>0%</c:formatCode>
                <c:ptCount val="4"/>
                <c:pt idx="0">
                  <c:v>0.1</c:v>
                </c:pt>
                <c:pt idx="1">
                  <c:v>0.08</c:v>
                </c:pt>
              </c:numCache>
            </c:numRef>
          </c:val>
          <c:extLst>
            <c:ext xmlns:c16="http://schemas.microsoft.com/office/drawing/2014/chart" uri="{C3380CC4-5D6E-409C-BE32-E72D297353CC}">
              <c16:uniqueId val="{00000001-986C-4D15-A4B1-C3F6448A9CD8}"/>
            </c:ext>
          </c:extLst>
        </c:ser>
        <c:ser>
          <c:idx val="2"/>
          <c:order val="2"/>
          <c:tx>
            <c:strRef>
              <c:f>Sheet1!$D$1</c:f>
              <c:strCache>
                <c:ptCount val="1"/>
                <c:pt idx="0">
                  <c:v>Twos</c:v>
                </c:pt>
              </c:strCache>
            </c:strRef>
          </c:tx>
          <c:spPr>
            <a:solidFill>
              <a:schemeClr val="accent1"/>
            </a:solidFill>
            <a:ln>
              <a:noFill/>
            </a:ln>
            <a:effectLst/>
          </c:spPr>
          <c:invertIfNegative val="0"/>
          <c:cat>
            <c:strRef>
              <c:f>Sheet1!$A$2:$A$5</c:f>
              <c:strCache>
                <c:ptCount val="2"/>
                <c:pt idx="0">
                  <c:v>Access</c:v>
                </c:pt>
                <c:pt idx="1">
                  <c:v>Access to Quailty</c:v>
                </c:pt>
              </c:strCache>
            </c:strRef>
          </c:cat>
          <c:val>
            <c:numRef>
              <c:f>Sheet1!$D$2:$D$5</c:f>
              <c:numCache>
                <c:formatCode>0%</c:formatCode>
                <c:ptCount val="4"/>
                <c:pt idx="0">
                  <c:v>0.08</c:v>
                </c:pt>
                <c:pt idx="1">
                  <c:v>7.0000000000000007E-2</c:v>
                </c:pt>
              </c:numCache>
            </c:numRef>
          </c:val>
          <c:extLst>
            <c:ext xmlns:c16="http://schemas.microsoft.com/office/drawing/2014/chart" uri="{C3380CC4-5D6E-409C-BE32-E72D297353CC}">
              <c16:uniqueId val="{00000002-986C-4D15-A4B1-C3F6448A9CD8}"/>
            </c:ext>
          </c:extLst>
        </c:ser>
        <c:ser>
          <c:idx val="3"/>
          <c:order val="3"/>
          <c:tx>
            <c:strRef>
              <c:f>Sheet1!$E$1</c:f>
              <c:strCache>
                <c:ptCount val="1"/>
                <c:pt idx="0">
                  <c:v>Threes</c:v>
                </c:pt>
              </c:strCache>
            </c:strRef>
          </c:tx>
          <c:spPr>
            <a:solidFill>
              <a:schemeClr val="accent1">
                <a:shade val="76000"/>
              </a:schemeClr>
            </a:solidFill>
            <a:ln>
              <a:noFill/>
            </a:ln>
            <a:effectLst/>
          </c:spPr>
          <c:invertIfNegative val="0"/>
          <c:cat>
            <c:strRef>
              <c:f>Sheet1!$A$2:$A$5</c:f>
              <c:strCache>
                <c:ptCount val="2"/>
                <c:pt idx="0">
                  <c:v>Access</c:v>
                </c:pt>
                <c:pt idx="1">
                  <c:v>Access to Quailty</c:v>
                </c:pt>
              </c:strCache>
            </c:strRef>
          </c:cat>
          <c:val>
            <c:numRef>
              <c:f>Sheet1!$E$2:$E$5</c:f>
              <c:numCache>
                <c:formatCode>0%</c:formatCode>
                <c:ptCount val="4"/>
                <c:pt idx="0">
                  <c:v>0.4</c:v>
                </c:pt>
                <c:pt idx="1">
                  <c:v>0.38</c:v>
                </c:pt>
              </c:numCache>
            </c:numRef>
          </c:val>
          <c:extLst>
            <c:ext xmlns:c16="http://schemas.microsoft.com/office/drawing/2014/chart" uri="{C3380CC4-5D6E-409C-BE32-E72D297353CC}">
              <c16:uniqueId val="{00000003-986C-4D15-A4B1-C3F6448A9CD8}"/>
            </c:ext>
          </c:extLst>
        </c:ser>
        <c:ser>
          <c:idx val="4"/>
          <c:order val="4"/>
          <c:tx>
            <c:strRef>
              <c:f>Sheet1!$F$1</c:f>
              <c:strCache>
                <c:ptCount val="1"/>
                <c:pt idx="0">
                  <c:v>Fours</c:v>
                </c:pt>
              </c:strCache>
            </c:strRef>
          </c:tx>
          <c:spPr>
            <a:solidFill>
              <a:schemeClr val="accent1">
                <a:shade val="53000"/>
              </a:schemeClr>
            </a:solidFill>
            <a:ln>
              <a:noFill/>
            </a:ln>
            <a:effectLst/>
          </c:spPr>
          <c:invertIfNegative val="0"/>
          <c:cat>
            <c:strRef>
              <c:f>Sheet1!$A$2:$A$5</c:f>
              <c:strCache>
                <c:ptCount val="2"/>
                <c:pt idx="0">
                  <c:v>Access</c:v>
                </c:pt>
                <c:pt idx="1">
                  <c:v>Access to Quailty</c:v>
                </c:pt>
              </c:strCache>
            </c:strRef>
          </c:cat>
          <c:val>
            <c:numRef>
              <c:f>Sheet1!$F$2:$F$5</c:f>
              <c:numCache>
                <c:formatCode>0%</c:formatCode>
                <c:ptCount val="4"/>
                <c:pt idx="0">
                  <c:v>0.76</c:v>
                </c:pt>
                <c:pt idx="1">
                  <c:v>0.76</c:v>
                </c:pt>
              </c:numCache>
            </c:numRef>
          </c:val>
          <c:extLst>
            <c:ext xmlns:c16="http://schemas.microsoft.com/office/drawing/2014/chart" uri="{C3380CC4-5D6E-409C-BE32-E72D297353CC}">
              <c16:uniqueId val="{00000004-986C-4D15-A4B1-C3F6448A9CD8}"/>
            </c:ext>
          </c:extLst>
        </c:ser>
        <c:dLbls>
          <c:showLegendKey val="0"/>
          <c:showVal val="0"/>
          <c:showCatName val="0"/>
          <c:showSerName val="0"/>
          <c:showPercent val="0"/>
          <c:showBubbleSize val="0"/>
        </c:dLbls>
        <c:gapWidth val="219"/>
        <c:overlap val="-27"/>
        <c:axId val="442417744"/>
        <c:axId val="442419056"/>
      </c:barChart>
      <c:catAx>
        <c:axId val="442417744"/>
        <c:scaling>
          <c:orientation val="minMax"/>
        </c:scaling>
        <c:delete val="0"/>
        <c:axPos val="b"/>
        <c:numFmt formatCode="General" sourceLinked="1"/>
        <c:majorTickMark val="none"/>
        <c:minorTickMark val="none"/>
        <c:tickLblPos val="nextTo"/>
        <c:spPr>
          <a:noFill/>
          <a:ln w="222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419056"/>
        <c:crosses val="autoZero"/>
        <c:auto val="1"/>
        <c:lblAlgn val="ctr"/>
        <c:lblOffset val="100"/>
        <c:noMultiLvlLbl val="0"/>
      </c:catAx>
      <c:valAx>
        <c:axId val="442419056"/>
        <c:scaling>
          <c:orientation val="minMax"/>
        </c:scaling>
        <c:delete val="0"/>
        <c:axPos val="l"/>
        <c:majorGridlines>
          <c:spPr>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417744"/>
        <c:crosses val="autoZero"/>
        <c:crossBetween val="between"/>
      </c:valAx>
      <c:spPr>
        <a:noFill/>
        <a:ln>
          <a:solidFill>
            <a:schemeClr val="tx1">
              <a:lumMod val="15000"/>
              <a:lumOff val="85000"/>
            </a:schemeClr>
          </a:solidFill>
        </a:ln>
        <a:effectLst/>
      </c:spPr>
    </c:plotArea>
    <c:legend>
      <c:legendPos val="b"/>
      <c:layout>
        <c:manualLayout>
          <c:xMode val="edge"/>
          <c:yMode val="edge"/>
          <c:x val="3.7609682675921428E-2"/>
          <c:y val="0.91877199465590265"/>
          <c:w val="0.3901744634861819"/>
          <c:h val="6.987626546681666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Knotts</dc:creator>
  <cp:keywords/>
  <dc:description/>
  <cp:lastModifiedBy>Aven Ford</cp:lastModifiedBy>
  <cp:revision>10</cp:revision>
  <cp:lastPrinted>2020-11-10T14:40:00Z</cp:lastPrinted>
  <dcterms:created xsi:type="dcterms:W3CDTF">2020-10-30T14:36:00Z</dcterms:created>
  <dcterms:modified xsi:type="dcterms:W3CDTF">2020-11-10T15:50:00Z</dcterms:modified>
</cp:coreProperties>
</file>